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590F">
        <w:rPr>
          <w:rFonts w:ascii="Times New Roman" w:hAnsi="Times New Roman" w:cs="Times New Roman"/>
          <w:sz w:val="28"/>
          <w:szCs w:val="28"/>
        </w:rPr>
        <w:t>17.03.2021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EF590F">
        <w:rPr>
          <w:rFonts w:ascii="Times New Roman" w:hAnsi="Times New Roman" w:cs="Times New Roman"/>
          <w:sz w:val="28"/>
          <w:szCs w:val="28"/>
        </w:rPr>
        <w:t>городского округа Самара на 2021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proofErr w:type="spellStart"/>
      <w:r w:rsidR="00EF590F">
        <w:rPr>
          <w:rFonts w:ascii="Times New Roman" w:hAnsi="Times New Roman" w:cs="Times New Roman"/>
          <w:sz w:val="28"/>
          <w:szCs w:val="28"/>
        </w:rPr>
        <w:t>Пресняковым</w:t>
      </w:r>
      <w:proofErr w:type="spellEnd"/>
      <w:r w:rsidR="00EF590F">
        <w:rPr>
          <w:rFonts w:ascii="Times New Roman" w:hAnsi="Times New Roman" w:cs="Times New Roman"/>
          <w:sz w:val="28"/>
          <w:szCs w:val="28"/>
        </w:rPr>
        <w:t xml:space="preserve"> В.В., 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0D70">
        <w:rPr>
          <w:rFonts w:ascii="Times New Roman" w:hAnsi="Times New Roman" w:cs="Times New Roman"/>
          <w:sz w:val="28"/>
          <w:szCs w:val="28"/>
        </w:rPr>
        <w:t xml:space="preserve">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 xml:space="preserve">сти в </w:t>
      </w:r>
      <w:proofErr w:type="gramStart"/>
      <w:r w:rsidR="001F3093">
        <w:rPr>
          <w:rFonts w:ascii="Times New Roman" w:hAnsi="Times New Roman" w:cs="Times New Roman"/>
          <w:sz w:val="28"/>
          <w:szCs w:val="28"/>
        </w:rPr>
        <w:t>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</w:t>
      </w:r>
      <w:proofErr w:type="spellStart"/>
      <w:r w:rsidR="00EF590F">
        <w:rPr>
          <w:rFonts w:ascii="Times New Roman" w:hAnsi="Times New Roman" w:cs="Times New Roman"/>
          <w:sz w:val="28"/>
          <w:szCs w:val="28"/>
        </w:rPr>
        <w:t>устранекнию</w:t>
      </w:r>
      <w:proofErr w:type="spellEnd"/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>, в обязательном порядке уведомляется ОП № 9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EF590F">
        <w:rPr>
          <w:rFonts w:ascii="Times New Roman" w:hAnsi="Times New Roman" w:cs="Times New Roman"/>
          <w:sz w:val="28"/>
          <w:szCs w:val="28"/>
        </w:rPr>
        <w:t>терроризма и экстремизма на 2021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EF590F">
        <w:rPr>
          <w:rFonts w:ascii="Times New Roman" w:hAnsi="Times New Roman" w:cs="Times New Roman"/>
          <w:sz w:val="28"/>
          <w:szCs w:val="28"/>
        </w:rPr>
        <w:t>следований объектов ММПЛ на 2021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bookmarkStart w:id="0" w:name="_GoBack"/>
      <w:bookmarkEnd w:id="0"/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EF" w:rsidRDefault="000057EF" w:rsidP="0079177D">
      <w:pPr>
        <w:spacing w:after="0" w:line="240" w:lineRule="auto"/>
      </w:pPr>
      <w:r>
        <w:separator/>
      </w:r>
    </w:p>
  </w:endnote>
  <w:endnote w:type="continuationSeparator" w:id="0">
    <w:p w:rsidR="000057EF" w:rsidRDefault="000057EF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EF" w:rsidRDefault="000057EF" w:rsidP="0079177D">
      <w:pPr>
        <w:spacing w:after="0" w:line="240" w:lineRule="auto"/>
      </w:pPr>
      <w:r>
        <w:separator/>
      </w:r>
    </w:p>
  </w:footnote>
  <w:footnote w:type="continuationSeparator" w:id="0">
    <w:p w:rsidR="000057EF" w:rsidRDefault="000057EF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0F">
          <w:rPr>
            <w:noProof/>
          </w:rPr>
          <w:t>3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7BF0"/>
    <w:rsid w:val="00155589"/>
    <w:rsid w:val="0017033B"/>
    <w:rsid w:val="001C7B20"/>
    <w:rsid w:val="001E1615"/>
    <w:rsid w:val="001F3093"/>
    <w:rsid w:val="002743A3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A3F46"/>
    <w:rsid w:val="003B5E7E"/>
    <w:rsid w:val="003F6194"/>
    <w:rsid w:val="0040597C"/>
    <w:rsid w:val="00417A22"/>
    <w:rsid w:val="00422F9F"/>
    <w:rsid w:val="004265A4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268B3"/>
    <w:rsid w:val="00C3108F"/>
    <w:rsid w:val="00C618BF"/>
    <w:rsid w:val="00CC138F"/>
    <w:rsid w:val="00D06104"/>
    <w:rsid w:val="00D127A9"/>
    <w:rsid w:val="00D2431B"/>
    <w:rsid w:val="00D27B21"/>
    <w:rsid w:val="00D3787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037B-7C90-438B-AB4F-FC7A0C45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79</cp:revision>
  <cp:lastPrinted>2017-06-21T12:00:00Z</cp:lastPrinted>
  <dcterms:created xsi:type="dcterms:W3CDTF">2017-06-21T12:17:00Z</dcterms:created>
  <dcterms:modified xsi:type="dcterms:W3CDTF">2021-03-15T05:28:00Z</dcterms:modified>
</cp:coreProperties>
</file>